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DB4" w:rsidRPr="00393451" w:rsidRDefault="00BB3A73" w:rsidP="005B3DA6">
      <w:pPr>
        <w:pBdr>
          <w:bottom w:val="single" w:sz="4" w:space="1" w:color="auto"/>
        </w:pBdr>
        <w:spacing w:after="0" w:line="240" w:lineRule="auto"/>
        <w:jc w:val="center"/>
        <w:rPr>
          <w:rFonts w:ascii="Lato" w:hAnsi="Lato"/>
          <w:b/>
          <w:sz w:val="28"/>
        </w:rPr>
      </w:pPr>
      <w:r w:rsidRPr="00393451">
        <w:rPr>
          <w:rFonts w:ascii="Lato" w:hAnsi="Lato"/>
          <w:b/>
          <w:sz w:val="28"/>
        </w:rPr>
        <w:t>TARIFAS -20</w:t>
      </w:r>
      <w:r w:rsidR="00037E03">
        <w:rPr>
          <w:rFonts w:ascii="Lato" w:hAnsi="Lato"/>
          <w:b/>
          <w:sz w:val="28"/>
        </w:rPr>
        <w:t>22</w:t>
      </w:r>
      <w:r w:rsidR="005B3DA6" w:rsidRPr="00393451">
        <w:rPr>
          <w:rFonts w:ascii="Lato" w:hAnsi="Lato"/>
          <w:b/>
          <w:sz w:val="28"/>
        </w:rPr>
        <w:t>-</w:t>
      </w:r>
    </w:p>
    <w:p w:rsidR="005B3DA6" w:rsidRDefault="005B3DA6" w:rsidP="00154406">
      <w:pPr>
        <w:spacing w:before="120" w:after="120" w:line="240" w:lineRule="auto"/>
        <w:jc w:val="both"/>
        <w:rPr>
          <w:rFonts w:ascii="Lato" w:hAnsi="Lato"/>
        </w:rPr>
      </w:pPr>
      <w:r w:rsidRPr="00393451">
        <w:rPr>
          <w:rFonts w:ascii="Lato" w:hAnsi="Lato"/>
        </w:rPr>
        <w:t>Estas tarifas incluyen: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54406" w:rsidRPr="00154406" w:rsidTr="00154406">
        <w:tc>
          <w:tcPr>
            <w:tcW w:w="4322" w:type="dxa"/>
            <w:shd w:val="clear" w:color="auto" w:fill="009CBC"/>
          </w:tcPr>
          <w:p w:rsidR="00154406" w:rsidRPr="00154406" w:rsidRDefault="00154406" w:rsidP="00154406">
            <w:pPr>
              <w:spacing w:before="60" w:after="60"/>
              <w:jc w:val="center"/>
              <w:rPr>
                <w:rFonts w:ascii="Lato" w:hAnsi="Lato"/>
                <w:b/>
                <w:color w:val="FFFFFF" w:themeColor="background1"/>
              </w:rPr>
            </w:pPr>
            <w:r w:rsidRPr="00154406">
              <w:rPr>
                <w:rFonts w:ascii="Lato" w:hAnsi="Lato"/>
                <w:b/>
                <w:color w:val="FFFFFF" w:themeColor="background1"/>
              </w:rPr>
              <w:t>En caso de ser g</w:t>
            </w:r>
            <w:r w:rsidR="00037E03">
              <w:rPr>
                <w:rFonts w:ascii="Lato" w:hAnsi="Lato"/>
                <w:b/>
                <w:color w:val="FFFFFF" w:themeColor="background1"/>
              </w:rPr>
              <w:t>alardonado con Bandera Azul 2022</w:t>
            </w:r>
          </w:p>
        </w:tc>
        <w:tc>
          <w:tcPr>
            <w:tcW w:w="4322" w:type="dxa"/>
            <w:shd w:val="clear" w:color="auto" w:fill="009CBC"/>
          </w:tcPr>
          <w:p w:rsidR="00154406" w:rsidRPr="00154406" w:rsidRDefault="00154406" w:rsidP="00154406">
            <w:pPr>
              <w:spacing w:before="60" w:after="60"/>
              <w:jc w:val="center"/>
              <w:rPr>
                <w:rFonts w:ascii="Lato" w:hAnsi="Lato"/>
                <w:b/>
                <w:color w:val="FFFFFF" w:themeColor="background1"/>
              </w:rPr>
            </w:pPr>
            <w:r w:rsidRPr="00154406">
              <w:rPr>
                <w:rFonts w:ascii="Lato" w:hAnsi="Lato"/>
                <w:b/>
                <w:color w:val="FFFFFF" w:themeColor="background1"/>
              </w:rPr>
              <w:t>En caso de no ser g</w:t>
            </w:r>
            <w:r w:rsidR="00037E03">
              <w:rPr>
                <w:rFonts w:ascii="Lato" w:hAnsi="Lato"/>
                <w:b/>
                <w:color w:val="FFFFFF" w:themeColor="background1"/>
              </w:rPr>
              <w:t>alardonado con Bandera Azul 2022</w:t>
            </w:r>
          </w:p>
        </w:tc>
      </w:tr>
      <w:tr w:rsidR="00154406" w:rsidTr="005E5365">
        <w:tc>
          <w:tcPr>
            <w:tcW w:w="8644" w:type="dxa"/>
            <w:gridSpan w:val="2"/>
          </w:tcPr>
          <w:p w:rsidR="00154406" w:rsidRDefault="00154406" w:rsidP="00154406">
            <w:pPr>
              <w:spacing w:before="60" w:after="60"/>
              <w:jc w:val="both"/>
              <w:rPr>
                <w:rFonts w:ascii="Lato" w:hAnsi="Lato"/>
              </w:rPr>
            </w:pPr>
            <w:r w:rsidRPr="00393451">
              <w:rPr>
                <w:rFonts w:ascii="Lato" w:hAnsi="Lato"/>
              </w:rPr>
              <w:t xml:space="preserve">Derecho a presentar la candidatura a Bandera Azul para embarcaciones </w:t>
            </w:r>
            <w:r w:rsidR="00037E03">
              <w:rPr>
                <w:rFonts w:ascii="Lato" w:hAnsi="Lato"/>
              </w:rPr>
              <w:t>turísticas en la Campaña de 2022</w:t>
            </w:r>
            <w:r w:rsidRPr="00393451">
              <w:rPr>
                <w:rFonts w:ascii="Lato" w:hAnsi="Lato"/>
              </w:rPr>
              <w:t>.</w:t>
            </w:r>
          </w:p>
        </w:tc>
      </w:tr>
      <w:tr w:rsidR="00154406" w:rsidTr="00E90F11">
        <w:tc>
          <w:tcPr>
            <w:tcW w:w="8644" w:type="dxa"/>
            <w:gridSpan w:val="2"/>
          </w:tcPr>
          <w:p w:rsidR="00154406" w:rsidRDefault="00154406" w:rsidP="00154406">
            <w:pPr>
              <w:spacing w:before="60" w:after="60"/>
              <w:jc w:val="both"/>
              <w:rPr>
                <w:rFonts w:ascii="Lato" w:hAnsi="Lato"/>
              </w:rPr>
            </w:pPr>
            <w:r w:rsidRPr="00393451">
              <w:rPr>
                <w:rFonts w:ascii="Lato" w:hAnsi="Lato"/>
              </w:rPr>
              <w:t>Análisis de la candidatura presentada y gestión para su presentación en los Jurados de Bandera Azul a nivel nacional e internacional.</w:t>
            </w:r>
          </w:p>
        </w:tc>
      </w:tr>
      <w:tr w:rsidR="00154406" w:rsidTr="00154406">
        <w:tc>
          <w:tcPr>
            <w:tcW w:w="4322" w:type="dxa"/>
          </w:tcPr>
          <w:p w:rsidR="00154406" w:rsidRDefault="00154406" w:rsidP="00154406">
            <w:pPr>
              <w:spacing w:before="60" w:after="6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Una Bandera Azul para </w:t>
            </w:r>
            <w:r w:rsidRPr="00393451">
              <w:rPr>
                <w:rFonts w:ascii="Lato" w:hAnsi="Lato"/>
              </w:rPr>
              <w:t>cada embarcación galardonada y una placa de metacrilato acreditativa para la oficina de la empresa</w:t>
            </w:r>
          </w:p>
        </w:tc>
        <w:tc>
          <w:tcPr>
            <w:tcW w:w="4322" w:type="dxa"/>
            <w:vMerge w:val="restart"/>
          </w:tcPr>
          <w:p w:rsidR="00154406" w:rsidRDefault="00154406" w:rsidP="00FB6864">
            <w:pPr>
              <w:spacing w:before="60" w:after="6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Una visita de asesoramiento a cada embarcación </w:t>
            </w:r>
            <w:r w:rsidR="00FB6864">
              <w:rPr>
                <w:rFonts w:ascii="Lato" w:hAnsi="Lato"/>
              </w:rPr>
              <w:t xml:space="preserve">candidata no galardonada </w:t>
            </w:r>
            <w:r>
              <w:rPr>
                <w:rFonts w:ascii="Lato" w:hAnsi="Lato"/>
              </w:rPr>
              <w:t>para evaluar las mejora</w:t>
            </w:r>
            <w:r w:rsidR="00736EEB">
              <w:rPr>
                <w:rFonts w:ascii="Lato" w:hAnsi="Lato"/>
              </w:rPr>
              <w:t>s necesaria</w:t>
            </w:r>
            <w:r>
              <w:rPr>
                <w:rFonts w:ascii="Lato" w:hAnsi="Lato"/>
              </w:rPr>
              <w:t>s para obtener el galardón en futuras Campañas</w:t>
            </w:r>
          </w:p>
        </w:tc>
      </w:tr>
      <w:tr w:rsidR="00154406" w:rsidTr="00154406">
        <w:tc>
          <w:tcPr>
            <w:tcW w:w="4322" w:type="dxa"/>
          </w:tcPr>
          <w:p w:rsidR="00154406" w:rsidRDefault="00154406" w:rsidP="00154406">
            <w:pPr>
              <w:spacing w:before="60" w:after="6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I</w:t>
            </w:r>
            <w:r w:rsidRPr="00393451">
              <w:rPr>
                <w:rFonts w:ascii="Lato" w:hAnsi="Lato"/>
              </w:rPr>
              <w:t>nclusión en las web del Programa Bandera Azul a nivel nacional e internacional</w:t>
            </w:r>
            <w:r>
              <w:rPr>
                <w:rFonts w:ascii="Lato" w:hAnsi="Lato"/>
              </w:rPr>
              <w:t xml:space="preserve"> </w:t>
            </w:r>
          </w:p>
        </w:tc>
        <w:tc>
          <w:tcPr>
            <w:tcW w:w="4322" w:type="dxa"/>
            <w:vMerge/>
          </w:tcPr>
          <w:p w:rsidR="00154406" w:rsidRDefault="00154406" w:rsidP="00154406">
            <w:pPr>
              <w:spacing w:before="60" w:after="60"/>
              <w:jc w:val="both"/>
              <w:rPr>
                <w:rFonts w:ascii="Lato" w:hAnsi="Lato"/>
              </w:rPr>
            </w:pPr>
          </w:p>
        </w:tc>
      </w:tr>
      <w:tr w:rsidR="00154406" w:rsidTr="00154406">
        <w:tc>
          <w:tcPr>
            <w:tcW w:w="4322" w:type="dxa"/>
          </w:tcPr>
          <w:p w:rsidR="00154406" w:rsidRDefault="00154406" w:rsidP="00154406">
            <w:pPr>
              <w:spacing w:before="60" w:after="6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U</w:t>
            </w:r>
            <w:r w:rsidRPr="00393451">
              <w:rPr>
                <w:rFonts w:ascii="Lato" w:hAnsi="Lato"/>
              </w:rPr>
              <w:t>na visita de control e inspección a cada embarcación galardonada</w:t>
            </w:r>
          </w:p>
        </w:tc>
        <w:tc>
          <w:tcPr>
            <w:tcW w:w="4322" w:type="dxa"/>
            <w:vMerge/>
          </w:tcPr>
          <w:p w:rsidR="00154406" w:rsidRDefault="00154406" w:rsidP="00154406">
            <w:pPr>
              <w:spacing w:before="60" w:after="60"/>
              <w:jc w:val="both"/>
              <w:rPr>
                <w:rFonts w:ascii="Lato" w:hAnsi="Lato"/>
              </w:rPr>
            </w:pPr>
          </w:p>
        </w:tc>
      </w:tr>
    </w:tbl>
    <w:p w:rsidR="00393451" w:rsidRPr="00154406" w:rsidRDefault="002A77A3" w:rsidP="00154406">
      <w:pPr>
        <w:spacing w:before="120" w:after="480" w:line="240" w:lineRule="auto"/>
        <w:jc w:val="both"/>
        <w:rPr>
          <w:rFonts w:ascii="Lato" w:hAnsi="Lato"/>
        </w:rPr>
      </w:pPr>
      <w:r w:rsidRPr="00154406">
        <w:rPr>
          <w:rFonts w:ascii="Lato" w:hAnsi="Lato"/>
        </w:rPr>
        <w:t>El Jurado Nacional se reserva el derecho de realizar una vista a cada embarcación que se presenta por primera vez, previa a la remisión de su candidatura al Jurado Internacional.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06"/>
        <w:gridCol w:w="1883"/>
      </w:tblGrid>
      <w:tr w:rsidR="005B3DA6" w:rsidRPr="00393451" w:rsidTr="00911ED6">
        <w:trPr>
          <w:trHeight w:val="276"/>
        </w:trPr>
        <w:tc>
          <w:tcPr>
            <w:tcW w:w="6806" w:type="dxa"/>
            <w:shd w:val="clear" w:color="auto" w:fill="C6D9F1" w:themeFill="text2" w:themeFillTint="33"/>
          </w:tcPr>
          <w:p w:rsidR="005B3DA6" w:rsidRPr="00393451" w:rsidRDefault="005B3DA6" w:rsidP="005B3DA6">
            <w:pPr>
              <w:rPr>
                <w:rFonts w:ascii="Lato" w:hAnsi="Lato"/>
              </w:rPr>
            </w:pPr>
            <w:r w:rsidRPr="00393451">
              <w:rPr>
                <w:rFonts w:ascii="Lato" w:hAnsi="Lato"/>
              </w:rPr>
              <w:t>Por la primera embarcación de la empresa:</w:t>
            </w:r>
          </w:p>
        </w:tc>
        <w:tc>
          <w:tcPr>
            <w:tcW w:w="1883" w:type="dxa"/>
            <w:vAlign w:val="center"/>
          </w:tcPr>
          <w:p w:rsidR="005B3DA6" w:rsidRPr="00393451" w:rsidRDefault="005B3DA6" w:rsidP="005B3DA6">
            <w:pPr>
              <w:jc w:val="center"/>
              <w:rPr>
                <w:rFonts w:ascii="Lato" w:hAnsi="Lato"/>
              </w:rPr>
            </w:pPr>
            <w:r w:rsidRPr="00393451">
              <w:rPr>
                <w:rFonts w:ascii="Lato" w:hAnsi="Lato"/>
              </w:rPr>
              <w:t>500 €/año</w:t>
            </w:r>
          </w:p>
        </w:tc>
      </w:tr>
      <w:tr w:rsidR="005B3DA6" w:rsidRPr="00393451" w:rsidTr="00911ED6">
        <w:trPr>
          <w:trHeight w:val="569"/>
        </w:trPr>
        <w:tc>
          <w:tcPr>
            <w:tcW w:w="6806" w:type="dxa"/>
            <w:shd w:val="clear" w:color="auto" w:fill="C6D9F1" w:themeFill="text2" w:themeFillTint="33"/>
          </w:tcPr>
          <w:p w:rsidR="005B3DA6" w:rsidRPr="00393451" w:rsidRDefault="005B3DA6" w:rsidP="005B3DA6">
            <w:pPr>
              <w:rPr>
                <w:rFonts w:ascii="Lato" w:hAnsi="Lato"/>
              </w:rPr>
            </w:pPr>
            <w:r w:rsidRPr="00393451">
              <w:rPr>
                <w:rFonts w:ascii="Lato" w:hAnsi="Lato"/>
              </w:rPr>
              <w:t xml:space="preserve">Por cada embarcación adicional de la misma empresa atracada en el mismo Puerto Deportivo que la primera: </w:t>
            </w:r>
          </w:p>
        </w:tc>
        <w:tc>
          <w:tcPr>
            <w:tcW w:w="1883" w:type="dxa"/>
            <w:vAlign w:val="center"/>
          </w:tcPr>
          <w:p w:rsidR="005B3DA6" w:rsidRPr="00393451" w:rsidRDefault="005B3DA6" w:rsidP="005B3DA6">
            <w:pPr>
              <w:jc w:val="center"/>
              <w:rPr>
                <w:rFonts w:ascii="Lato" w:hAnsi="Lato"/>
              </w:rPr>
            </w:pPr>
            <w:r w:rsidRPr="00393451">
              <w:rPr>
                <w:rFonts w:ascii="Lato" w:hAnsi="Lato"/>
              </w:rPr>
              <w:t>100 €/año</w:t>
            </w:r>
          </w:p>
        </w:tc>
      </w:tr>
      <w:tr w:rsidR="005B3DA6" w:rsidRPr="00393451" w:rsidTr="00911ED6">
        <w:trPr>
          <w:trHeight w:val="569"/>
        </w:trPr>
        <w:tc>
          <w:tcPr>
            <w:tcW w:w="680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B3DA6" w:rsidRPr="00393451" w:rsidRDefault="005B3DA6" w:rsidP="005B3DA6">
            <w:pPr>
              <w:rPr>
                <w:rFonts w:ascii="Lato" w:hAnsi="Lato"/>
              </w:rPr>
            </w:pPr>
            <w:r w:rsidRPr="00393451">
              <w:rPr>
                <w:rFonts w:ascii="Lato" w:hAnsi="Lato"/>
              </w:rPr>
              <w:t>Por cada embarcación adicional de la misma empresa atracada en un Puerto Deportivo distinto al de la primera: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5B3DA6" w:rsidRPr="00393451" w:rsidRDefault="005B3DA6" w:rsidP="005B3DA6">
            <w:pPr>
              <w:jc w:val="center"/>
              <w:rPr>
                <w:rFonts w:ascii="Lato" w:hAnsi="Lato"/>
              </w:rPr>
            </w:pPr>
            <w:r w:rsidRPr="00393451">
              <w:rPr>
                <w:rFonts w:ascii="Lato" w:hAnsi="Lato"/>
              </w:rPr>
              <w:t>200 €/año</w:t>
            </w:r>
          </w:p>
        </w:tc>
      </w:tr>
      <w:tr w:rsidR="005B3DA6" w:rsidRPr="00393451" w:rsidTr="00911ED6">
        <w:trPr>
          <w:trHeight w:val="276"/>
        </w:trPr>
        <w:tc>
          <w:tcPr>
            <w:tcW w:w="68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B3DA6" w:rsidRPr="00393451" w:rsidRDefault="005B3DA6" w:rsidP="005B3DA6">
            <w:pPr>
              <w:rPr>
                <w:rFonts w:ascii="Lato" w:hAnsi="Lato"/>
                <w:b/>
              </w:rPr>
            </w:pPr>
          </w:p>
        </w:tc>
        <w:tc>
          <w:tcPr>
            <w:tcW w:w="1883" w:type="dxa"/>
            <w:tcBorders>
              <w:left w:val="nil"/>
              <w:bottom w:val="nil"/>
              <w:right w:val="nil"/>
            </w:tcBorders>
            <w:vAlign w:val="center"/>
          </w:tcPr>
          <w:p w:rsidR="005B3DA6" w:rsidRPr="00393451" w:rsidRDefault="005B3DA6" w:rsidP="005B3DA6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393451">
              <w:rPr>
                <w:rFonts w:ascii="Lato" w:hAnsi="Lato"/>
                <w:sz w:val="20"/>
                <w:szCs w:val="20"/>
              </w:rPr>
              <w:t>-I.V.A. no incluido-</w:t>
            </w:r>
          </w:p>
        </w:tc>
      </w:tr>
    </w:tbl>
    <w:p w:rsidR="00393451" w:rsidRPr="00154406" w:rsidRDefault="00393451" w:rsidP="00154406">
      <w:pPr>
        <w:spacing w:before="240" w:after="0" w:line="240" w:lineRule="auto"/>
        <w:jc w:val="both"/>
        <w:rPr>
          <w:rFonts w:ascii="Lato" w:hAnsi="Lato"/>
          <w:i/>
          <w:sz w:val="20"/>
        </w:rPr>
      </w:pPr>
      <w:r w:rsidRPr="00154406">
        <w:rPr>
          <w:rFonts w:ascii="Lato" w:hAnsi="Lato"/>
          <w:i/>
          <w:sz w:val="20"/>
        </w:rPr>
        <w:t xml:space="preserve">NOTA: </w:t>
      </w:r>
      <w:r w:rsidR="00154406" w:rsidRPr="00154406">
        <w:rPr>
          <w:rFonts w:ascii="Lato" w:hAnsi="Lato"/>
          <w:i/>
          <w:sz w:val="20"/>
        </w:rPr>
        <w:t>el pago deberá realizarse por trasferencia bancaria (</w:t>
      </w:r>
      <w:r w:rsidR="00DD7B4F">
        <w:rPr>
          <w:rFonts w:ascii="Lato" w:hAnsi="Lato"/>
          <w:i/>
          <w:sz w:val="20"/>
        </w:rPr>
        <w:t xml:space="preserve">el </w:t>
      </w:r>
      <w:r w:rsidR="00154406" w:rsidRPr="00154406">
        <w:rPr>
          <w:rFonts w:ascii="Lato" w:hAnsi="Lato"/>
          <w:i/>
          <w:sz w:val="20"/>
        </w:rPr>
        <w:t>nº cuenta</w:t>
      </w:r>
      <w:r w:rsidR="00D96A7C">
        <w:rPr>
          <w:rFonts w:ascii="Lato" w:hAnsi="Lato"/>
          <w:i/>
          <w:sz w:val="20"/>
        </w:rPr>
        <w:t xml:space="preserve"> se indicará en la factura). En el caso de embarcaciones que se presentan por primera vez, los pagos serán abonados en dos plazos: 50% a la solicitud de visita (verano 2022) y 50% a la presentación de candidatura (noviembre 2022).</w:t>
      </w:r>
      <w:bookmarkStart w:id="0" w:name="_GoBack"/>
      <w:bookmarkEnd w:id="0"/>
    </w:p>
    <w:sectPr w:rsidR="00393451" w:rsidRPr="00154406" w:rsidSect="005B3DA6">
      <w:headerReference w:type="default" r:id="rId7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1D8" w:rsidRDefault="00AF11D8" w:rsidP="005B3DA6">
      <w:pPr>
        <w:spacing w:after="0" w:line="240" w:lineRule="auto"/>
      </w:pPr>
      <w:r>
        <w:separator/>
      </w:r>
    </w:p>
  </w:endnote>
  <w:endnote w:type="continuationSeparator" w:id="0">
    <w:p w:rsidR="00AF11D8" w:rsidRDefault="00AF11D8" w:rsidP="005B3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1D8" w:rsidRDefault="00AF11D8" w:rsidP="005B3DA6">
      <w:pPr>
        <w:spacing w:after="0" w:line="240" w:lineRule="auto"/>
      </w:pPr>
      <w:r>
        <w:separator/>
      </w:r>
    </w:p>
  </w:footnote>
  <w:footnote w:type="continuationSeparator" w:id="0">
    <w:p w:rsidR="00AF11D8" w:rsidRDefault="00AF11D8" w:rsidP="005B3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4"/>
      <w:gridCol w:w="4347"/>
      <w:gridCol w:w="1529"/>
    </w:tblGrid>
    <w:tr w:rsidR="00CF13C6" w:rsidTr="005B3DA6">
      <w:trPr>
        <w:jc w:val="center"/>
      </w:trPr>
      <w:tc>
        <w:tcPr>
          <w:tcW w:w="1701" w:type="dxa"/>
        </w:tcPr>
        <w:p w:rsidR="005B3DA6" w:rsidRDefault="00CF13C6" w:rsidP="005B3DA6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7745F641" wp14:editId="520523D5">
                <wp:extent cx="1668780" cy="45251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DEA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450" cy="4776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Align w:val="center"/>
        </w:tcPr>
        <w:p w:rsidR="005B3DA6" w:rsidRPr="00911ED6" w:rsidRDefault="005B3DA6" w:rsidP="00CC5078">
          <w:pPr>
            <w:pStyle w:val="Encabezado"/>
            <w:tabs>
              <w:tab w:val="clear" w:pos="4252"/>
            </w:tabs>
            <w:jc w:val="center"/>
            <w:rPr>
              <w:rFonts w:ascii="Lato" w:hAnsi="Lato"/>
              <w:b/>
              <w:sz w:val="24"/>
            </w:rPr>
          </w:pPr>
          <w:r w:rsidRPr="00911ED6">
            <w:rPr>
              <w:rFonts w:ascii="Lato" w:hAnsi="Lato"/>
              <w:b/>
              <w:sz w:val="24"/>
            </w:rPr>
            <w:t>BANDERA AZUL PARA</w:t>
          </w:r>
        </w:p>
        <w:p w:rsidR="005B3DA6" w:rsidRDefault="00911ED6" w:rsidP="00CC5078">
          <w:pPr>
            <w:pStyle w:val="Encabezado"/>
            <w:tabs>
              <w:tab w:val="clear" w:pos="4252"/>
            </w:tabs>
            <w:jc w:val="center"/>
          </w:pPr>
          <w:r w:rsidRPr="00911ED6">
            <w:rPr>
              <w:rFonts w:ascii="Lato" w:hAnsi="Lato"/>
              <w:b/>
              <w:sz w:val="24"/>
            </w:rPr>
            <w:t>EMBARCACIONES TURÍSTICAS</w:t>
          </w:r>
        </w:p>
      </w:tc>
      <w:tc>
        <w:tcPr>
          <w:tcW w:w="1701" w:type="dxa"/>
        </w:tcPr>
        <w:p w:rsidR="005B3DA6" w:rsidRDefault="0007418C" w:rsidP="005B3DA6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2A3C84E9" wp14:editId="6EC3B303">
                <wp:extent cx="580992" cy="540000"/>
                <wp:effectExtent l="0" t="0" r="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nBlueFlagEscrit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992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B3DA6" w:rsidRPr="005B3DA6" w:rsidRDefault="005B3DA6" w:rsidP="005B3D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B55DF"/>
    <w:multiLevelType w:val="hybridMultilevel"/>
    <w:tmpl w:val="1212B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A4CC7"/>
    <w:multiLevelType w:val="multilevel"/>
    <w:tmpl w:val="77CA0006"/>
    <w:lvl w:ilvl="0">
      <w:start w:val="1"/>
      <w:numFmt w:val="decimal"/>
      <w:pStyle w:val="Memori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67101D34"/>
    <w:multiLevelType w:val="hybridMultilevel"/>
    <w:tmpl w:val="A3A2241E"/>
    <w:lvl w:ilvl="0" w:tplc="E4205CF6">
      <w:start w:val="1"/>
      <w:numFmt w:val="bullet"/>
      <w:pStyle w:val="Memoriavieta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3E8789C">
      <w:start w:val="1"/>
      <w:numFmt w:val="bullet"/>
      <w:pStyle w:val="Memoriaviet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DA6"/>
    <w:rsid w:val="00037E03"/>
    <w:rsid w:val="0007418C"/>
    <w:rsid w:val="00154406"/>
    <w:rsid w:val="001D5DB4"/>
    <w:rsid w:val="002A77A3"/>
    <w:rsid w:val="00393451"/>
    <w:rsid w:val="005B3DA6"/>
    <w:rsid w:val="00736EEB"/>
    <w:rsid w:val="007C7C4C"/>
    <w:rsid w:val="008C33ED"/>
    <w:rsid w:val="00911ED6"/>
    <w:rsid w:val="00AB0945"/>
    <w:rsid w:val="00AF11D8"/>
    <w:rsid w:val="00B761E3"/>
    <w:rsid w:val="00BB3A73"/>
    <w:rsid w:val="00CC5078"/>
    <w:rsid w:val="00CF13C6"/>
    <w:rsid w:val="00D96A7C"/>
    <w:rsid w:val="00DD7B4F"/>
    <w:rsid w:val="00EE0417"/>
    <w:rsid w:val="00FB6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80760"/>
  <w15:docId w15:val="{C04BD387-39AB-41A5-B4FE-D2A37144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9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emoria0">
    <w:name w:val="Memoria 0"/>
    <w:basedOn w:val="Normal"/>
    <w:qFormat/>
    <w:rsid w:val="007C7C4C"/>
    <w:pPr>
      <w:widowControl w:val="0"/>
      <w:suppressAutoHyphens/>
      <w:spacing w:before="1560" w:after="0" w:line="240" w:lineRule="auto"/>
      <w:jc w:val="center"/>
    </w:pPr>
    <w:rPr>
      <w:rFonts w:ascii="Century Gothic" w:eastAsia="Lucida Sans Unicode" w:hAnsi="Century Gothic" w:cs="Times New Roman"/>
      <w:b/>
      <w:smallCaps/>
      <w:kern w:val="72"/>
      <w:sz w:val="96"/>
      <w:szCs w:val="24"/>
      <w:lang w:val="es-ES_tradnl"/>
    </w:rPr>
  </w:style>
  <w:style w:type="paragraph" w:customStyle="1" w:styleId="Memoria1">
    <w:name w:val="Memoria 1"/>
    <w:basedOn w:val="Normal"/>
    <w:qFormat/>
    <w:rsid w:val="007C7C4C"/>
    <w:pPr>
      <w:widowControl w:val="0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uppressAutoHyphens/>
      <w:spacing w:before="240" w:after="240" w:line="240" w:lineRule="auto"/>
      <w:jc w:val="both"/>
      <w:outlineLvl w:val="0"/>
    </w:pPr>
    <w:rPr>
      <w:rFonts w:ascii="Century Gothic" w:eastAsia="Lucida Sans Unicode" w:hAnsi="Century Gothic" w:cs="Times New Roman"/>
      <w:b/>
      <w:bCs/>
      <w:smallCaps/>
      <w:kern w:val="28"/>
      <w:sz w:val="28"/>
      <w:szCs w:val="28"/>
      <w:lang w:val="es-ES_tradnl"/>
    </w:rPr>
  </w:style>
  <w:style w:type="paragraph" w:customStyle="1" w:styleId="Memoria11">
    <w:name w:val="Memoria 11"/>
    <w:basedOn w:val="Normal"/>
    <w:qFormat/>
    <w:rsid w:val="007C7C4C"/>
    <w:pPr>
      <w:widowControl w:val="0"/>
      <w:pBdr>
        <w:bottom w:val="single" w:sz="4" w:space="1" w:color="auto"/>
      </w:pBdr>
      <w:suppressAutoHyphens/>
      <w:spacing w:before="240" w:after="120" w:line="240" w:lineRule="auto"/>
      <w:jc w:val="both"/>
    </w:pPr>
    <w:rPr>
      <w:rFonts w:ascii="Century Gothic" w:eastAsia="Lucida Sans Unicode" w:hAnsi="Century Gothic" w:cs="Times New Roman"/>
      <w:b/>
      <w:smallCaps/>
      <w:kern w:val="22"/>
      <w:szCs w:val="24"/>
      <w:lang w:val="es-ES_tradnl"/>
    </w:rPr>
  </w:style>
  <w:style w:type="paragraph" w:customStyle="1" w:styleId="Memoria111">
    <w:name w:val="Memoria 111"/>
    <w:basedOn w:val="Normal"/>
    <w:qFormat/>
    <w:rsid w:val="007C7C4C"/>
    <w:pPr>
      <w:suppressAutoHyphens/>
      <w:spacing w:before="240" w:after="240" w:line="240" w:lineRule="auto"/>
      <w:jc w:val="both"/>
    </w:pPr>
    <w:rPr>
      <w:rFonts w:ascii="Century Gothic" w:eastAsia="Lucida Sans Unicode" w:hAnsi="Century Gothic" w:cs="Times New Roman"/>
      <w:b/>
      <w:bCs/>
      <w:kern w:val="1"/>
      <w:szCs w:val="24"/>
      <w:u w:val="single"/>
      <w:lang w:val="es-ES_tradnl"/>
    </w:rPr>
  </w:style>
  <w:style w:type="paragraph" w:customStyle="1" w:styleId="Memorianumero1">
    <w:name w:val="Memoria numero 1"/>
    <w:basedOn w:val="Normal"/>
    <w:qFormat/>
    <w:rsid w:val="007C7C4C"/>
    <w:pPr>
      <w:widowControl w:val="0"/>
      <w:numPr>
        <w:numId w:val="1"/>
      </w:numPr>
      <w:tabs>
        <w:tab w:val="left" w:pos="709"/>
      </w:tabs>
      <w:suppressAutoHyphens/>
      <w:spacing w:before="120" w:after="0" w:line="240" w:lineRule="auto"/>
      <w:jc w:val="both"/>
    </w:pPr>
    <w:rPr>
      <w:rFonts w:ascii="Century Gothic" w:eastAsia="Lucida Sans Unicode" w:hAnsi="Century Gothic" w:cs="Times New Roman"/>
      <w:kern w:val="1"/>
      <w:szCs w:val="24"/>
      <w:lang w:val="es-ES_tradnl"/>
    </w:rPr>
  </w:style>
  <w:style w:type="paragraph" w:customStyle="1" w:styleId="Memoriavieta1">
    <w:name w:val="Memoria viñeta 1"/>
    <w:basedOn w:val="Normal"/>
    <w:qFormat/>
    <w:rsid w:val="007C7C4C"/>
    <w:pPr>
      <w:widowControl w:val="0"/>
      <w:numPr>
        <w:numId w:val="3"/>
      </w:numPr>
      <w:tabs>
        <w:tab w:val="left" w:pos="709"/>
      </w:tabs>
      <w:suppressAutoHyphens/>
      <w:spacing w:before="120" w:after="0" w:line="240" w:lineRule="auto"/>
      <w:jc w:val="both"/>
    </w:pPr>
    <w:rPr>
      <w:rFonts w:ascii="Century Gothic" w:eastAsia="Lucida Sans Unicode" w:hAnsi="Century Gothic" w:cs="Times New Roman"/>
      <w:kern w:val="1"/>
      <w:szCs w:val="24"/>
      <w:lang w:val="es-ES_tradnl"/>
    </w:rPr>
  </w:style>
  <w:style w:type="paragraph" w:customStyle="1" w:styleId="Memoriavieta2">
    <w:name w:val="Memoria viñeta 2"/>
    <w:basedOn w:val="Memoriavieta1"/>
    <w:qFormat/>
    <w:rsid w:val="007C7C4C"/>
    <w:pPr>
      <w:numPr>
        <w:ilvl w:val="1"/>
      </w:numPr>
    </w:pPr>
  </w:style>
  <w:style w:type="paragraph" w:customStyle="1" w:styleId="MemoriasNormal">
    <w:name w:val="Memorias Normal"/>
    <w:basedOn w:val="Normal"/>
    <w:autoRedefine/>
    <w:qFormat/>
    <w:rsid w:val="007C7C4C"/>
    <w:pPr>
      <w:widowControl w:val="0"/>
      <w:suppressAutoHyphens/>
      <w:spacing w:before="120" w:after="0" w:line="240" w:lineRule="auto"/>
      <w:jc w:val="both"/>
    </w:pPr>
    <w:rPr>
      <w:rFonts w:ascii="Century Gothic" w:eastAsia="Lucida Sans Unicode" w:hAnsi="Century Gothic" w:cs="Times New Roman"/>
      <w:bCs/>
      <w:kern w:val="1"/>
    </w:rPr>
  </w:style>
  <w:style w:type="paragraph" w:styleId="Encabezado">
    <w:name w:val="header"/>
    <w:basedOn w:val="Normal"/>
    <w:link w:val="EncabezadoCar"/>
    <w:uiPriority w:val="99"/>
    <w:unhideWhenUsed/>
    <w:rsid w:val="005B3D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DA6"/>
  </w:style>
  <w:style w:type="paragraph" w:styleId="Piedepgina">
    <w:name w:val="footer"/>
    <w:basedOn w:val="Normal"/>
    <w:link w:val="PiedepginaCar"/>
    <w:uiPriority w:val="99"/>
    <w:unhideWhenUsed/>
    <w:rsid w:val="005B3D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DA6"/>
  </w:style>
  <w:style w:type="paragraph" w:styleId="Textodeglobo">
    <w:name w:val="Balloon Text"/>
    <w:basedOn w:val="Normal"/>
    <w:link w:val="TextodegloboCar"/>
    <w:uiPriority w:val="99"/>
    <w:semiHidden/>
    <w:unhideWhenUsed/>
    <w:rsid w:val="005B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DA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B3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3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ana</cp:lastModifiedBy>
  <cp:revision>8</cp:revision>
  <cp:lastPrinted>2018-04-11T13:06:00Z</cp:lastPrinted>
  <dcterms:created xsi:type="dcterms:W3CDTF">2019-11-05T10:22:00Z</dcterms:created>
  <dcterms:modified xsi:type="dcterms:W3CDTF">2022-07-19T10:37:00Z</dcterms:modified>
</cp:coreProperties>
</file>